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7D2" w:rsidRDefault="001917D2" w:rsidP="00191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7D2">
        <w:rPr>
          <w:rFonts w:ascii="Times New Roman" w:hAnsi="Times New Roman" w:cs="Times New Roman"/>
          <w:sz w:val="28"/>
          <w:szCs w:val="28"/>
        </w:rPr>
        <w:t xml:space="preserve">Анализ результатов анкетирования сотрудников университета, посвященного пониманию концепции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917D2">
        <w:rPr>
          <w:rFonts w:ascii="Times New Roman" w:hAnsi="Times New Roman" w:cs="Times New Roman"/>
          <w:sz w:val="28"/>
          <w:szCs w:val="28"/>
        </w:rPr>
        <w:t>устойчивого развития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917D2">
        <w:rPr>
          <w:rFonts w:ascii="Times New Roman" w:hAnsi="Times New Roman" w:cs="Times New Roman"/>
          <w:sz w:val="28"/>
          <w:szCs w:val="28"/>
        </w:rPr>
        <w:t>, позволяет выделить несколько ключевых аспектов и направлений, которые отражают разнообразие мнений и подходов ко всему спектру этой темы. Респонденты</w:t>
      </w:r>
      <w:r>
        <w:rPr>
          <w:rFonts w:ascii="Times New Roman" w:hAnsi="Times New Roman" w:cs="Times New Roman"/>
          <w:sz w:val="28"/>
          <w:szCs w:val="28"/>
        </w:rPr>
        <w:t xml:space="preserve"> (168 человек)</w:t>
      </w:r>
      <w:r w:rsidRPr="001917D2">
        <w:rPr>
          <w:rFonts w:ascii="Times New Roman" w:hAnsi="Times New Roman" w:cs="Times New Roman"/>
          <w:sz w:val="28"/>
          <w:szCs w:val="28"/>
        </w:rPr>
        <w:t xml:space="preserve"> продемонстрировали широкий разброс интерпретаций, что свидетельствует о глубоком и многообразном восприятии устойчивого развития.</w:t>
      </w:r>
    </w:p>
    <w:p w:rsidR="00E8622A" w:rsidRPr="001917D2" w:rsidRDefault="00E8622A" w:rsidP="00C202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917D2" w:rsidRPr="001917D2" w:rsidRDefault="001917D2" w:rsidP="00191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7D2">
        <w:rPr>
          <w:rFonts w:ascii="Times New Roman" w:hAnsi="Times New Roman" w:cs="Times New Roman"/>
          <w:sz w:val="28"/>
          <w:szCs w:val="28"/>
        </w:rPr>
        <w:t>Во-первых, многие сотрудники</w:t>
      </w:r>
      <w:r>
        <w:rPr>
          <w:rFonts w:ascii="Times New Roman" w:hAnsi="Times New Roman" w:cs="Times New Roman"/>
          <w:sz w:val="28"/>
          <w:szCs w:val="28"/>
        </w:rPr>
        <w:t xml:space="preserve"> (21)</w:t>
      </w:r>
      <w:r w:rsidRPr="001917D2">
        <w:rPr>
          <w:rFonts w:ascii="Times New Roman" w:hAnsi="Times New Roman" w:cs="Times New Roman"/>
          <w:sz w:val="28"/>
          <w:szCs w:val="28"/>
        </w:rPr>
        <w:t xml:space="preserve"> подчеркивают важность экологической устойчивости как ведущего компонента данной концепции. Они акцентируют внимание на необходимости охраны окружающей среды, рационального использования природных ресурсов и предотвращения негативного воздействия человеческой деятельности на природу. Некоторые респонденты приводят конкретные примеры, такие как сокращение выбросов углерода, использование возобновляемых источников энергии и развитие зеленых технологий, что указывает на их осведомленность о текущих экологических проблемах.</w:t>
      </w:r>
    </w:p>
    <w:p w:rsidR="001917D2" w:rsidRPr="001917D2" w:rsidRDefault="001917D2" w:rsidP="00191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7D2">
        <w:rPr>
          <w:rFonts w:ascii="Times New Roman" w:hAnsi="Times New Roman" w:cs="Times New Roman"/>
          <w:sz w:val="28"/>
          <w:szCs w:val="28"/>
        </w:rPr>
        <w:t xml:space="preserve">Во-вторых, 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Pr="001917D2">
        <w:rPr>
          <w:rFonts w:ascii="Times New Roman" w:hAnsi="Times New Roman" w:cs="Times New Roman"/>
          <w:sz w:val="28"/>
          <w:szCs w:val="28"/>
        </w:rPr>
        <w:t xml:space="preserve">значительная часть </w:t>
      </w:r>
      <w:r>
        <w:rPr>
          <w:rFonts w:ascii="Times New Roman" w:hAnsi="Times New Roman" w:cs="Times New Roman"/>
          <w:sz w:val="28"/>
          <w:szCs w:val="28"/>
        </w:rPr>
        <w:t xml:space="preserve"> (5 человек) </w:t>
      </w:r>
      <w:r w:rsidRPr="001917D2">
        <w:rPr>
          <w:rFonts w:ascii="Times New Roman" w:hAnsi="Times New Roman" w:cs="Times New Roman"/>
          <w:sz w:val="28"/>
          <w:szCs w:val="28"/>
        </w:rPr>
        <w:t xml:space="preserve">ответов фиксирует внимание на социальном аспекте устойчивого развития. Сотрудники отмечают, что эта концепция должна подразумевать создание </w:t>
      </w:r>
      <w:proofErr w:type="gramStart"/>
      <w:r w:rsidRPr="001917D2">
        <w:rPr>
          <w:rFonts w:ascii="Times New Roman" w:hAnsi="Times New Roman" w:cs="Times New Roman"/>
          <w:sz w:val="28"/>
          <w:szCs w:val="28"/>
        </w:rPr>
        <w:t>более равноправного</w:t>
      </w:r>
      <w:proofErr w:type="gramEnd"/>
      <w:r w:rsidRPr="001917D2">
        <w:rPr>
          <w:rFonts w:ascii="Times New Roman" w:hAnsi="Times New Roman" w:cs="Times New Roman"/>
          <w:sz w:val="28"/>
          <w:szCs w:val="28"/>
        </w:rPr>
        <w:t xml:space="preserve"> и справедливого общества, где у всех есть доступ к базовым ресурсам, образованию и здравоохранению. Они акцентируют внимание на важности инклюзивности, равенства возможностей и защиты прав человека как неотъемлемых элементов устойчивого развития. Эта точка зрения позволяет утверждать, что многие сотрудники осознают связь между социальным благополучием и устойчивым развитием.</w:t>
      </w:r>
    </w:p>
    <w:p w:rsidR="001917D2" w:rsidRPr="001917D2" w:rsidRDefault="001917D2" w:rsidP="00191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7D2">
        <w:rPr>
          <w:rFonts w:ascii="Times New Roman" w:hAnsi="Times New Roman" w:cs="Times New Roman"/>
          <w:sz w:val="28"/>
          <w:szCs w:val="28"/>
        </w:rPr>
        <w:t>Третий аспект, который выделяется в ответах, касается экономической устойчивости. Сотрудники университета</w:t>
      </w:r>
      <w:r>
        <w:rPr>
          <w:rFonts w:ascii="Times New Roman" w:hAnsi="Times New Roman" w:cs="Times New Roman"/>
          <w:sz w:val="28"/>
          <w:szCs w:val="28"/>
        </w:rPr>
        <w:t xml:space="preserve"> (25 человек)</w:t>
      </w:r>
      <w:r w:rsidRPr="001917D2">
        <w:rPr>
          <w:rFonts w:ascii="Times New Roman" w:hAnsi="Times New Roman" w:cs="Times New Roman"/>
          <w:sz w:val="28"/>
          <w:szCs w:val="28"/>
        </w:rPr>
        <w:t xml:space="preserve"> подчеркивают, что для достижения устойчивого развития необходимо также учитывать экономические факторы, включая создание устойчивых рабочих мест, </w:t>
      </w:r>
      <w:r w:rsidRPr="001917D2">
        <w:rPr>
          <w:rFonts w:ascii="Times New Roman" w:hAnsi="Times New Roman" w:cs="Times New Roman"/>
          <w:sz w:val="28"/>
          <w:szCs w:val="28"/>
        </w:rPr>
        <w:lastRenderedPageBreak/>
        <w:t>развитие малого и среднего бизнеса, внедрение инновационных моделей ведения бизнеса и ответственность компаний перед обществом. Финансовая устойчивость рассматривается как важный фактор, который обеспечивает возможность для социального и экологического прогресса.</w:t>
      </w:r>
    </w:p>
    <w:p w:rsidR="00B15990" w:rsidRDefault="001917D2" w:rsidP="00191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7D2">
        <w:rPr>
          <w:rFonts w:ascii="Times New Roman" w:hAnsi="Times New Roman" w:cs="Times New Roman"/>
          <w:sz w:val="28"/>
          <w:szCs w:val="28"/>
        </w:rPr>
        <w:t xml:space="preserve">Наконец, следует отметить, что некоторые респонденты </w:t>
      </w:r>
      <w:r>
        <w:rPr>
          <w:rFonts w:ascii="Times New Roman" w:hAnsi="Times New Roman" w:cs="Times New Roman"/>
          <w:sz w:val="28"/>
          <w:szCs w:val="28"/>
        </w:rPr>
        <w:t xml:space="preserve"> (117 человек) </w:t>
      </w:r>
      <w:r w:rsidRPr="001917D2">
        <w:rPr>
          <w:rFonts w:ascii="Times New Roman" w:hAnsi="Times New Roman" w:cs="Times New Roman"/>
          <w:sz w:val="28"/>
          <w:szCs w:val="28"/>
        </w:rPr>
        <w:t xml:space="preserve">выражают мнение о важности образования и научных исследований в области устойчивого развития. Они отмечают необходимость повышения осведомленности и </w:t>
      </w:r>
      <w:proofErr w:type="gramStart"/>
      <w:r w:rsidRPr="001917D2">
        <w:rPr>
          <w:rFonts w:ascii="Times New Roman" w:hAnsi="Times New Roman" w:cs="Times New Roman"/>
          <w:sz w:val="28"/>
          <w:szCs w:val="28"/>
        </w:rPr>
        <w:t>вовлеченности</w:t>
      </w:r>
      <w:proofErr w:type="gramEnd"/>
      <w:r w:rsidRPr="001917D2">
        <w:rPr>
          <w:rFonts w:ascii="Times New Roman" w:hAnsi="Times New Roman" w:cs="Times New Roman"/>
          <w:sz w:val="28"/>
          <w:szCs w:val="28"/>
        </w:rPr>
        <w:t xml:space="preserve"> как сотрудников, так и студентов в процессы, связанные с устойчивым развитием. Образовательные инициативы, направленные на формирование культуры устойчивости, были представлены как ключевая задача университета, способствующая не только подготовке будущих специалистов, но и развитию общественного сознания в целом.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1B4" w:rsidRDefault="005B71B4" w:rsidP="008E0A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B71B4" w:rsidRDefault="005B71B4" w:rsidP="00191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954" w:rsidRPr="00EB5954" w:rsidRDefault="00EB5954" w:rsidP="00EB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954">
        <w:rPr>
          <w:rFonts w:ascii="Times New Roman" w:hAnsi="Times New Roman" w:cs="Times New Roman"/>
          <w:sz w:val="28"/>
          <w:szCs w:val="28"/>
        </w:rPr>
        <w:t>Результаты анкетирования сотрудников университета по вопросу о наиболее актуальных из 17 целей устойчивого развития (ЦУР) предоставили обширные и многообразные мнения, отражающие понимание важности этой глобальной повестки.</w:t>
      </w:r>
      <w:proofErr w:type="gramEnd"/>
      <w:r w:rsidRPr="00EB5954">
        <w:rPr>
          <w:rFonts w:ascii="Times New Roman" w:hAnsi="Times New Roman" w:cs="Times New Roman"/>
          <w:sz w:val="28"/>
          <w:szCs w:val="28"/>
        </w:rPr>
        <w:t xml:space="preserve"> В ходе анализа ответов можно выделить несколько ключевых тем, поясняющих приоритеты и убеждения большинства участников.</w:t>
      </w:r>
    </w:p>
    <w:p w:rsidR="00EB5954" w:rsidRPr="00EB5954" w:rsidRDefault="00EB5954" w:rsidP="00EB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954">
        <w:rPr>
          <w:rFonts w:ascii="Times New Roman" w:hAnsi="Times New Roman" w:cs="Times New Roman"/>
          <w:sz w:val="28"/>
          <w:szCs w:val="28"/>
        </w:rPr>
        <w:t>Прежде всего, сотрудники университета выделили такие цели, как «</w:t>
      </w:r>
      <w:r w:rsidRPr="00EB5954">
        <w:rPr>
          <w:rFonts w:ascii="Times New Roman" w:hAnsi="Times New Roman" w:cs="Times New Roman"/>
          <w:sz w:val="28"/>
          <w:szCs w:val="28"/>
        </w:rPr>
        <w:t>Хорошее здоровье и благополучие</w:t>
      </w:r>
      <w:r w:rsidRPr="00EB5954">
        <w:rPr>
          <w:rFonts w:ascii="Times New Roman" w:hAnsi="Times New Roman" w:cs="Times New Roman"/>
          <w:sz w:val="28"/>
          <w:szCs w:val="28"/>
        </w:rPr>
        <w:t xml:space="preserve">» (Цель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B5954">
        <w:rPr>
          <w:rFonts w:ascii="Times New Roman" w:hAnsi="Times New Roman" w:cs="Times New Roman"/>
          <w:sz w:val="28"/>
          <w:szCs w:val="28"/>
        </w:rPr>
        <w:t>) и «</w:t>
      </w:r>
      <w:r w:rsidRPr="00EB5954">
        <w:rPr>
          <w:rFonts w:ascii="Times New Roman" w:hAnsi="Times New Roman" w:cs="Times New Roman"/>
          <w:sz w:val="28"/>
          <w:szCs w:val="28"/>
        </w:rPr>
        <w:t>Качественное образование</w:t>
      </w:r>
      <w:r w:rsidRPr="00EB5954">
        <w:rPr>
          <w:rFonts w:ascii="Times New Roman" w:hAnsi="Times New Roman" w:cs="Times New Roman"/>
          <w:sz w:val="28"/>
          <w:szCs w:val="28"/>
        </w:rPr>
        <w:t xml:space="preserve">» (Цель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B5954">
        <w:rPr>
          <w:rFonts w:ascii="Times New Roman" w:hAnsi="Times New Roman" w:cs="Times New Roman"/>
          <w:sz w:val="28"/>
          <w:szCs w:val="28"/>
        </w:rPr>
        <w:t xml:space="preserve">). Эти цели получили значительное одобрение, что свидетельствует о высоком уровне осознания необходимости равноценного доступа к качественному образованию и </w:t>
      </w:r>
      <w:r>
        <w:rPr>
          <w:rFonts w:ascii="Times New Roman" w:hAnsi="Times New Roman" w:cs="Times New Roman"/>
          <w:sz w:val="28"/>
          <w:szCs w:val="28"/>
        </w:rPr>
        <w:t>улучшению</w:t>
      </w:r>
      <w:r w:rsidRPr="00EB5954">
        <w:rPr>
          <w:rFonts w:ascii="Times New Roman" w:hAnsi="Times New Roman" w:cs="Times New Roman"/>
          <w:sz w:val="28"/>
          <w:szCs w:val="28"/>
        </w:rPr>
        <w:t xml:space="preserve"> здоровь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B5954">
        <w:rPr>
          <w:rFonts w:ascii="Times New Roman" w:hAnsi="Times New Roman" w:cs="Times New Roman"/>
          <w:sz w:val="28"/>
          <w:szCs w:val="28"/>
        </w:rPr>
        <w:t xml:space="preserve"> и благополучие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954">
        <w:rPr>
          <w:rFonts w:ascii="Times New Roman" w:hAnsi="Times New Roman" w:cs="Times New Roman"/>
          <w:sz w:val="28"/>
          <w:szCs w:val="28"/>
        </w:rPr>
        <w:t>как основополагающих условий для устойчивого развития общества. Сотрудники подчеркнули, что образование является основой развития человеческого потенциала, которое в свою очередь влияет на все другие аспекты устойчивости, включая экономику и экологию.</w:t>
      </w:r>
    </w:p>
    <w:p w:rsidR="00EB5954" w:rsidRPr="00EB5954" w:rsidRDefault="00EB5954" w:rsidP="00EB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954" w:rsidRPr="001917D2" w:rsidRDefault="00EB5954" w:rsidP="00EB5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5954">
        <w:rPr>
          <w:rFonts w:ascii="Times New Roman" w:hAnsi="Times New Roman" w:cs="Times New Roman"/>
          <w:sz w:val="28"/>
          <w:szCs w:val="28"/>
        </w:rPr>
        <w:t>Эти результаты могут служить основой для разработки стратегий и программ университета, направленных на активное вовлечение сотрудников и студентов в повестку устойчивого развития, что, в конечном счете, приведет к более глубокой интеграции ценностей устойчивости в образовательный процесс и научные исследования.</w:t>
      </w:r>
    </w:p>
    <w:sectPr w:rsidR="00EB5954" w:rsidRPr="00191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5D5"/>
    <w:rsid w:val="001917D2"/>
    <w:rsid w:val="005905D5"/>
    <w:rsid w:val="005B71B4"/>
    <w:rsid w:val="008E0AFD"/>
    <w:rsid w:val="00B15990"/>
    <w:rsid w:val="00C20272"/>
    <w:rsid w:val="00E8622A"/>
    <w:rsid w:val="00EB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Понятие, связаное с экологией</c:v>
                </c:pt>
                <c:pt idx="1">
                  <c:v>Понятие экономического характера</c:v>
                </c:pt>
                <c:pt idx="2">
                  <c:v>Рассматривает социальные вопросы</c:v>
                </c:pt>
                <c:pt idx="3">
                  <c:v>Понятие охватывает экологические, экономические и социальные аспекты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0.125</c:v>
                </c:pt>
                <c:pt idx="1">
                  <c:v>0.14899999999999999</c:v>
                </c:pt>
                <c:pt idx="2">
                  <c:v>2.9000000000000001E-2</c:v>
                </c:pt>
                <c:pt idx="3">
                  <c:v>0.69699999999999995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ЦУР 1</c:v>
                </c:pt>
                <c:pt idx="1">
                  <c:v>ЦУР 2</c:v>
                </c:pt>
                <c:pt idx="2">
                  <c:v>ЦУР 3</c:v>
                </c:pt>
                <c:pt idx="3">
                  <c:v>ЦУР 4</c:v>
                </c:pt>
                <c:pt idx="4">
                  <c:v>ЦУР 5</c:v>
                </c:pt>
                <c:pt idx="5">
                  <c:v>ЦУР 6</c:v>
                </c:pt>
                <c:pt idx="6">
                  <c:v>ЦУР 7</c:v>
                </c:pt>
                <c:pt idx="7">
                  <c:v>ЦУР 8</c:v>
                </c:pt>
                <c:pt idx="8">
                  <c:v>ЦУР 9</c:v>
                </c:pt>
                <c:pt idx="9">
                  <c:v>ЦУР 10</c:v>
                </c:pt>
                <c:pt idx="10">
                  <c:v>ЦУР 11</c:v>
                </c:pt>
                <c:pt idx="11">
                  <c:v>ЦУР 12</c:v>
                </c:pt>
                <c:pt idx="12">
                  <c:v>ЦУР 13</c:v>
                </c:pt>
                <c:pt idx="13">
                  <c:v>ЦУР 14</c:v>
                </c:pt>
                <c:pt idx="14">
                  <c:v>ЦУР 15</c:v>
                </c:pt>
                <c:pt idx="15">
                  <c:v>ЦУР 16</c:v>
                </c:pt>
                <c:pt idx="16">
                  <c:v>ЦУР 17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43</c:v>
                </c:pt>
                <c:pt idx="1">
                  <c:v>29</c:v>
                </c:pt>
                <c:pt idx="2">
                  <c:v>119</c:v>
                </c:pt>
                <c:pt idx="3">
                  <c:v>111</c:v>
                </c:pt>
                <c:pt idx="4">
                  <c:v>13</c:v>
                </c:pt>
                <c:pt idx="5">
                  <c:v>59</c:v>
                </c:pt>
                <c:pt idx="6">
                  <c:v>24</c:v>
                </c:pt>
                <c:pt idx="7">
                  <c:v>83</c:v>
                </c:pt>
                <c:pt idx="8">
                  <c:v>47</c:v>
                </c:pt>
                <c:pt idx="9">
                  <c:v>24</c:v>
                </c:pt>
                <c:pt idx="10">
                  <c:v>16</c:v>
                </c:pt>
                <c:pt idx="11">
                  <c:v>33</c:v>
                </c:pt>
                <c:pt idx="12">
                  <c:v>29</c:v>
                </c:pt>
                <c:pt idx="13">
                  <c:v>14</c:v>
                </c:pt>
                <c:pt idx="14">
                  <c:v>15</c:v>
                </c:pt>
                <c:pt idx="15">
                  <c:v>41</c:v>
                </c:pt>
                <c:pt idx="16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73466624"/>
        <c:axId val="73468544"/>
        <c:axId val="73545920"/>
      </c:bar3DChart>
      <c:catAx>
        <c:axId val="73466624"/>
        <c:scaling>
          <c:orientation val="minMax"/>
        </c:scaling>
        <c:delete val="0"/>
        <c:axPos val="b"/>
        <c:majorTickMark val="out"/>
        <c:minorTickMark val="none"/>
        <c:tickLblPos val="nextTo"/>
        <c:crossAx val="73468544"/>
        <c:crosses val="autoZero"/>
        <c:auto val="1"/>
        <c:lblAlgn val="ctr"/>
        <c:lblOffset val="100"/>
        <c:noMultiLvlLbl val="0"/>
      </c:catAx>
      <c:valAx>
        <c:axId val="73468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3466624"/>
        <c:crosses val="autoZero"/>
        <c:crossBetween val="between"/>
      </c:valAx>
      <c:serAx>
        <c:axId val="73545920"/>
        <c:scaling>
          <c:orientation val="minMax"/>
        </c:scaling>
        <c:delete val="1"/>
        <c:axPos val="b"/>
        <c:majorTickMark val="out"/>
        <c:minorTickMark val="none"/>
        <c:tickLblPos val="nextTo"/>
        <c:crossAx val="73468544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2025-04-14T10:26:00Z</dcterms:created>
  <dcterms:modified xsi:type="dcterms:W3CDTF">2025-04-14T11:23:00Z</dcterms:modified>
</cp:coreProperties>
</file>