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7D1F" w:rsidRPr="008F7D1F" w:rsidRDefault="008F7D1F" w:rsidP="008F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F7D1F">
        <w:rPr>
          <w:rFonts w:ascii="Times New Roman" w:hAnsi="Times New Roman" w:cs="Times New Roman"/>
          <w:sz w:val="28"/>
          <w:szCs w:val="28"/>
        </w:rPr>
        <w:t xml:space="preserve">Анализ результатов анкетирования среди преподавателей университета по вопросу понимания концепции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F7D1F">
        <w:rPr>
          <w:rFonts w:ascii="Times New Roman" w:hAnsi="Times New Roman" w:cs="Times New Roman"/>
          <w:sz w:val="28"/>
          <w:szCs w:val="28"/>
        </w:rPr>
        <w:t>устойчивого развития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F7D1F">
        <w:rPr>
          <w:rFonts w:ascii="Times New Roman" w:hAnsi="Times New Roman" w:cs="Times New Roman"/>
          <w:sz w:val="28"/>
          <w:szCs w:val="28"/>
        </w:rPr>
        <w:t xml:space="preserve"> демонстрирует широкий спектр мнений и интерпретаций, которые, в свою очередь, отражают разнообразие профессионального опыта и личных взглядов участников.</w:t>
      </w:r>
    </w:p>
    <w:p w:rsidR="008F7D1F" w:rsidRDefault="008F7D1F" w:rsidP="008F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D1F">
        <w:rPr>
          <w:rFonts w:ascii="Times New Roman" w:hAnsi="Times New Roman" w:cs="Times New Roman"/>
          <w:sz w:val="28"/>
          <w:szCs w:val="28"/>
        </w:rPr>
        <w:t>Основная масса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7D1F">
        <w:rPr>
          <w:rFonts w:ascii="Times New Roman" w:hAnsi="Times New Roman" w:cs="Times New Roman"/>
          <w:sz w:val="28"/>
          <w:szCs w:val="28"/>
        </w:rPr>
        <w:t>ответов акцентировала внимание на многогранности понятия устойчивого развития, которое затрагивает три ключевые области: экономическую, социальную и экологическую. Многие преподаватели (80,8% респондентов) подчеркивали, что устойчивое развитие не ограничивается лишь защитой окружающей среды, но включает в себя и экономическую целесообразность, и социальное равенство. Это единство экономических, социальных и экологических аспектов даёт возможность рассматривать устойчивое развитие как сбалансированный процесс, способствующий улучшению качества жизни, сохраняющему планетарные ресурсы для будущих поколений.</w:t>
      </w:r>
    </w:p>
    <w:p w:rsidR="008F7D1F" w:rsidRDefault="008F7D1F" w:rsidP="00743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743AB3" w:rsidRDefault="00743AB3" w:rsidP="00743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Осведомленность ППС университета о концепции ЦУР</w:t>
      </w:r>
    </w:p>
    <w:p w:rsidR="00743AB3" w:rsidRDefault="00743AB3" w:rsidP="00743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3AB3" w:rsidRPr="00743AB3" w:rsidRDefault="00743AB3" w:rsidP="00743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B3">
        <w:rPr>
          <w:rFonts w:ascii="Times New Roman" w:hAnsi="Times New Roman" w:cs="Times New Roman"/>
          <w:sz w:val="28"/>
          <w:szCs w:val="28"/>
        </w:rPr>
        <w:t>Анализ результатов анкетирования преподавателей университета, проведенного на тему 17 целей устойчивого развития (ЦУР), позволяет выявить ключевые приоритеты и актуальные направления деятельности образовательного процесса. Преподаватели, оценив значимость каждой из целей, выявили определенные тенденции и осознание важности устойчивого развития в контексте современного образования.</w:t>
      </w:r>
    </w:p>
    <w:p w:rsidR="00743AB3" w:rsidRDefault="00743AB3" w:rsidP="00743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B3">
        <w:rPr>
          <w:rFonts w:ascii="Times New Roman" w:hAnsi="Times New Roman" w:cs="Times New Roman"/>
          <w:sz w:val="28"/>
          <w:szCs w:val="28"/>
        </w:rPr>
        <w:t>Наиболее актуальными целями, по мнению большинства респондентов, оказались такие, как «Качественное образование», «</w:t>
      </w:r>
      <w:r w:rsidR="00B11820" w:rsidRPr="00B11820">
        <w:rPr>
          <w:rFonts w:ascii="Times New Roman" w:hAnsi="Times New Roman" w:cs="Times New Roman"/>
          <w:sz w:val="28"/>
          <w:szCs w:val="28"/>
        </w:rPr>
        <w:t>Хорошее здоровье и благополучие</w:t>
      </w:r>
      <w:r w:rsidRPr="00743AB3">
        <w:rPr>
          <w:rFonts w:ascii="Times New Roman" w:hAnsi="Times New Roman" w:cs="Times New Roman"/>
          <w:sz w:val="28"/>
          <w:szCs w:val="28"/>
        </w:rPr>
        <w:t>», «Снижение неравенства», «</w:t>
      </w:r>
      <w:r w:rsidR="00B11820" w:rsidRPr="00B11820">
        <w:rPr>
          <w:rFonts w:ascii="Times New Roman" w:hAnsi="Times New Roman" w:cs="Times New Roman"/>
          <w:sz w:val="28"/>
          <w:szCs w:val="28"/>
        </w:rPr>
        <w:t>Достойная работа и экономический рост</w:t>
      </w:r>
      <w:r w:rsidRPr="00743AB3">
        <w:rPr>
          <w:rFonts w:ascii="Times New Roman" w:hAnsi="Times New Roman" w:cs="Times New Roman"/>
          <w:sz w:val="28"/>
          <w:szCs w:val="28"/>
        </w:rPr>
        <w:t>» и «</w:t>
      </w:r>
      <w:r w:rsidR="00B11820" w:rsidRPr="00B11820">
        <w:rPr>
          <w:rFonts w:ascii="Times New Roman" w:hAnsi="Times New Roman" w:cs="Times New Roman"/>
          <w:sz w:val="28"/>
          <w:szCs w:val="28"/>
        </w:rPr>
        <w:t>Чистая вода и санитария</w:t>
      </w:r>
      <w:r w:rsidRPr="00743AB3">
        <w:rPr>
          <w:rFonts w:ascii="Times New Roman" w:hAnsi="Times New Roman" w:cs="Times New Roman"/>
          <w:sz w:val="28"/>
          <w:szCs w:val="28"/>
        </w:rPr>
        <w:t xml:space="preserve">». Преподаватели отмечают, что каждый из этих аспектов непосредственно влияет как на студентов, так и на шире общество в целом. К примеру, «Качественное образование» </w:t>
      </w:r>
      <w:r w:rsidRPr="00743AB3">
        <w:rPr>
          <w:rFonts w:ascii="Times New Roman" w:hAnsi="Times New Roman" w:cs="Times New Roman"/>
          <w:sz w:val="28"/>
          <w:szCs w:val="28"/>
        </w:rPr>
        <w:lastRenderedPageBreak/>
        <w:t>воспринимается как основа для формирования критически мыслящего и ответственного поколения, способного находить решения сложных современных проблем.</w:t>
      </w:r>
    </w:p>
    <w:p w:rsidR="00743AB3" w:rsidRPr="00743AB3" w:rsidRDefault="00743AB3" w:rsidP="00743A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896140"/>
            <wp:effectExtent l="0" t="0" r="1905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43AB3" w:rsidRPr="00743AB3" w:rsidRDefault="00743AB3" w:rsidP="00743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3AB3" w:rsidRPr="00743AB3" w:rsidRDefault="00743AB3" w:rsidP="00743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B3">
        <w:rPr>
          <w:rFonts w:ascii="Times New Roman" w:hAnsi="Times New Roman" w:cs="Times New Roman"/>
          <w:sz w:val="28"/>
          <w:szCs w:val="28"/>
        </w:rPr>
        <w:t>Преподаватели также акцентировали внимание на важности «Снижения неравенства» как в рамках образования, так и в более широком социуме. Это понимание подчеркивает необходимость обеспечения равного доступа к образованию для всех студентов, независимо от их социально-экономического положения. Множество респондентов считают, что университет должен активно участвовать в бор</w:t>
      </w:r>
      <w:r w:rsidR="00B11820">
        <w:rPr>
          <w:rFonts w:ascii="Times New Roman" w:hAnsi="Times New Roman" w:cs="Times New Roman"/>
          <w:sz w:val="28"/>
          <w:szCs w:val="28"/>
        </w:rPr>
        <w:t>ьбе</w:t>
      </w:r>
      <w:r w:rsidRPr="00743AB3">
        <w:rPr>
          <w:rFonts w:ascii="Times New Roman" w:hAnsi="Times New Roman" w:cs="Times New Roman"/>
          <w:sz w:val="28"/>
          <w:szCs w:val="28"/>
        </w:rPr>
        <w:t xml:space="preserve"> неравенством, как внутри образовательной среды, так и в своем влиянии на сообщество.</w:t>
      </w:r>
    </w:p>
    <w:p w:rsidR="00743AB3" w:rsidRPr="008F7D1F" w:rsidRDefault="00743AB3" w:rsidP="00743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3AB3">
        <w:rPr>
          <w:rFonts w:ascii="Times New Roman" w:hAnsi="Times New Roman" w:cs="Times New Roman"/>
          <w:sz w:val="28"/>
          <w:szCs w:val="28"/>
        </w:rPr>
        <w:t>Установление связей между образовательными инициативами и целями устойчивого развития может существенно обогатить образовательный процесс и содействовать созданию устойчивого будущего.</w:t>
      </w:r>
    </w:p>
    <w:sectPr w:rsidR="00743AB3" w:rsidRPr="008F7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D0E"/>
    <w:rsid w:val="00474D98"/>
    <w:rsid w:val="00743AB3"/>
    <w:rsid w:val="008F7D1F"/>
    <w:rsid w:val="00912D0E"/>
    <w:rsid w:val="00B11820"/>
    <w:rsid w:val="00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88A13-2661-4C35-BFE8-F6D0D585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7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7D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Понятие, связано с экологией </c:v>
                </c:pt>
                <c:pt idx="1">
                  <c:v>Понятие экономического характера </c:v>
                </c:pt>
                <c:pt idx="2">
                  <c:v>Рассматривает социальные вопросы </c:v>
                </c:pt>
                <c:pt idx="3">
                  <c:v>Понятие охватывает экологические, экономические и социальные аспекты</c:v>
                </c:pt>
              </c:strCache>
            </c:strRef>
          </c:cat>
          <c:val>
            <c:numRef>
              <c:f>Лист1!$B$2:$B$5</c:f>
              <c:numCache>
                <c:formatCode>0.00%</c:formatCode>
                <c:ptCount val="4"/>
                <c:pt idx="0">
                  <c:v>5.7000000000000002E-2</c:v>
                </c:pt>
                <c:pt idx="1">
                  <c:v>9.1999999999999998E-2</c:v>
                </c:pt>
                <c:pt idx="2">
                  <c:v>4.2999999999999997E-2</c:v>
                </c:pt>
                <c:pt idx="3">
                  <c:v>0.80800000000000005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AC-4367-A16B-2A5D5B636C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t"/>
      <c:overlay val="0"/>
      <c:txPr>
        <a:bodyPr/>
        <a:lstStyle/>
        <a:p>
          <a:pPr>
            <a:defRPr baseline="0">
              <a:latin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0.1990740740740740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EC8-4568-88C5-80B894EFAB2C}"/>
                </c:ext>
              </c:extLst>
            </c:dLbl>
            <c:dLbl>
              <c:idx val="1"/>
              <c:layout>
                <c:manualLayout>
                  <c:x val="0.1412037037037036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EC8-4568-88C5-80B894EFAB2C}"/>
                </c:ext>
              </c:extLst>
            </c:dLbl>
            <c:dLbl>
              <c:idx val="2"/>
              <c:layout>
                <c:manualLayout>
                  <c:x val="0.3819444444444444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EC8-4568-88C5-80B894EFAB2C}"/>
                </c:ext>
              </c:extLst>
            </c:dLbl>
            <c:dLbl>
              <c:idx val="3"/>
              <c:layout>
                <c:manualLayout>
                  <c:x val="0.45601851851851855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EC8-4568-88C5-80B894EFAB2C}"/>
                </c:ext>
              </c:extLst>
            </c:dLbl>
            <c:dLbl>
              <c:idx val="4"/>
              <c:layout>
                <c:manualLayout>
                  <c:x val="7.4074074074074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EC8-4568-88C5-80B894EFAB2C}"/>
                </c:ext>
              </c:extLst>
            </c:dLbl>
            <c:dLbl>
              <c:idx val="5"/>
              <c:layout>
                <c:manualLayout>
                  <c:x val="0.2361111111111111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EC8-4568-88C5-80B894EFAB2C}"/>
                </c:ext>
              </c:extLst>
            </c:dLbl>
            <c:dLbl>
              <c:idx val="6"/>
              <c:layout>
                <c:manualLayout>
                  <c:x val="0.1435185185185185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EC8-4568-88C5-80B894EFAB2C}"/>
                </c:ext>
              </c:extLst>
            </c:dLbl>
            <c:dLbl>
              <c:idx val="7"/>
              <c:layout>
                <c:manualLayout>
                  <c:x val="0.35416666666666669"/>
                  <c:y val="3.259636460702190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EC8-4568-88C5-80B894EFAB2C}"/>
                </c:ext>
              </c:extLst>
            </c:dLbl>
            <c:dLbl>
              <c:idx val="8"/>
              <c:layout>
                <c:manualLayout>
                  <c:x val="0.28240740740740738"/>
                  <c:y val="-3.259636460702070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EC8-4568-88C5-80B894EFAB2C}"/>
                </c:ext>
              </c:extLst>
            </c:dLbl>
            <c:dLbl>
              <c:idx val="9"/>
              <c:layout>
                <c:manualLayout>
                  <c:x val="0.3634259259259257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EC8-4568-88C5-80B894EFAB2C}"/>
                </c:ext>
              </c:extLst>
            </c:dLbl>
            <c:dLbl>
              <c:idx val="10"/>
              <c:layout>
                <c:manualLayout>
                  <c:x val="0.15046296296296297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EC8-4568-88C5-80B894EFAB2C}"/>
                </c:ext>
              </c:extLst>
            </c:dLbl>
            <c:dLbl>
              <c:idx val="11"/>
              <c:layout>
                <c:manualLayout>
                  <c:x val="0.15740740740740736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EC8-4568-88C5-80B894EFAB2C}"/>
                </c:ext>
              </c:extLst>
            </c:dLbl>
            <c:dLbl>
              <c:idx val="12"/>
              <c:layout>
                <c:manualLayout>
                  <c:x val="0.19212962962962962"/>
                  <c:y val="3.25963646070213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EC8-4568-88C5-80B894EFAB2C}"/>
                </c:ext>
              </c:extLst>
            </c:dLbl>
            <c:dLbl>
              <c:idx val="13"/>
              <c:layout>
                <c:manualLayout>
                  <c:x val="0.1134259259259259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EC8-4568-88C5-80B894EFAB2C}"/>
                </c:ext>
              </c:extLst>
            </c:dLbl>
            <c:dLbl>
              <c:idx val="14"/>
              <c:layout>
                <c:manualLayout>
                  <c:x val="0.1273148148148148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EC8-4568-88C5-80B894EFAB2C}"/>
                </c:ext>
              </c:extLst>
            </c:dLbl>
            <c:dLbl>
              <c:idx val="15"/>
              <c:layout>
                <c:manualLayout>
                  <c:x val="0.19444444444444445"/>
                  <c:y val="6.519272921404246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EC8-4568-88C5-80B894EFAB2C}"/>
                </c:ext>
              </c:extLst>
            </c:dLbl>
            <c:dLbl>
              <c:idx val="16"/>
              <c:layout>
                <c:manualLayout>
                  <c:x val="0.17592592592592593"/>
                  <c:y val="-3.25963646070213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EC8-4568-88C5-80B894EFAB2C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Лист1!$A$2:$A$18</c:f>
              <c:strCache>
                <c:ptCount val="17"/>
                <c:pt idx="0">
                  <c:v>ЦУР 1</c:v>
                </c:pt>
                <c:pt idx="1">
                  <c:v>ЦУР 2</c:v>
                </c:pt>
                <c:pt idx="2">
                  <c:v>ЦУР 3</c:v>
                </c:pt>
                <c:pt idx="3">
                  <c:v>ЦУР 4</c:v>
                </c:pt>
                <c:pt idx="4">
                  <c:v>ЦУР 5</c:v>
                </c:pt>
                <c:pt idx="5">
                  <c:v>ЦУР 6</c:v>
                </c:pt>
                <c:pt idx="6">
                  <c:v>ЦУР 7</c:v>
                </c:pt>
                <c:pt idx="7">
                  <c:v>ЦУР 8</c:v>
                </c:pt>
                <c:pt idx="8">
                  <c:v>ЦУР 9</c:v>
                </c:pt>
                <c:pt idx="9">
                  <c:v>ЦУР 10</c:v>
                </c:pt>
                <c:pt idx="10">
                  <c:v>ЦУР 11</c:v>
                </c:pt>
                <c:pt idx="11">
                  <c:v>ЦУР 12</c:v>
                </c:pt>
                <c:pt idx="12">
                  <c:v>ЦУР 13</c:v>
                </c:pt>
                <c:pt idx="13">
                  <c:v>ЦУР 14</c:v>
                </c:pt>
                <c:pt idx="14">
                  <c:v>ЦУР 15</c:v>
                </c:pt>
                <c:pt idx="15">
                  <c:v>ЦУР 16</c:v>
                </c:pt>
                <c:pt idx="16">
                  <c:v>ЦУР 17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62</c:v>
                </c:pt>
                <c:pt idx="1">
                  <c:v>38</c:v>
                </c:pt>
                <c:pt idx="2">
                  <c:v>132</c:v>
                </c:pt>
                <c:pt idx="3">
                  <c:v>157</c:v>
                </c:pt>
                <c:pt idx="4">
                  <c:v>16</c:v>
                </c:pt>
                <c:pt idx="5">
                  <c:v>75</c:v>
                </c:pt>
                <c:pt idx="6">
                  <c:v>36</c:v>
                </c:pt>
                <c:pt idx="7">
                  <c:v>123</c:v>
                </c:pt>
                <c:pt idx="8">
                  <c:v>97</c:v>
                </c:pt>
                <c:pt idx="9">
                  <c:v>125</c:v>
                </c:pt>
                <c:pt idx="10">
                  <c:v>44</c:v>
                </c:pt>
                <c:pt idx="11">
                  <c:v>49</c:v>
                </c:pt>
                <c:pt idx="12">
                  <c:v>55</c:v>
                </c:pt>
                <c:pt idx="13">
                  <c:v>24</c:v>
                </c:pt>
                <c:pt idx="14">
                  <c:v>32</c:v>
                </c:pt>
                <c:pt idx="15">
                  <c:v>61</c:v>
                </c:pt>
                <c:pt idx="16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DEC8-4568-88C5-80B894EFAB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77921280"/>
        <c:axId val="78600064"/>
        <c:axId val="0"/>
      </c:bar3DChart>
      <c:catAx>
        <c:axId val="779212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78600064"/>
        <c:crosses val="autoZero"/>
        <c:auto val="1"/>
        <c:lblAlgn val="ctr"/>
        <c:lblOffset val="100"/>
        <c:noMultiLvlLbl val="0"/>
      </c:catAx>
      <c:valAx>
        <c:axId val="7860006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779212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2025-04-14T14:08:00Z</dcterms:created>
  <dcterms:modified xsi:type="dcterms:W3CDTF">2025-04-14T14:08:00Z</dcterms:modified>
</cp:coreProperties>
</file>