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C5C7E" w:rsidRPr="00CC5C7E" w:rsidRDefault="00CC5C7E" w:rsidP="00CC5C7E">
      <w:pPr>
        <w:spacing w:after="0" w:line="240" w:lineRule="auto"/>
        <w:ind w:firstLine="709"/>
        <w:jc w:val="both"/>
        <w:rPr>
          <w:rStyle w:val="ezkurwreuab5ozgtqnkl"/>
          <w:rFonts w:ascii="Times New Roman" w:hAnsi="Times New Roman" w:cs="Times New Roman"/>
          <w:sz w:val="28"/>
          <w:szCs w:val="28"/>
        </w:rPr>
      </w:pPr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Университет</w:t>
      </w:r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оқытушылары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«Т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ұрақты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даму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тұжырымдамасын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мәселесі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сауалнама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өз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кезегінде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тәжірибесі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мен</w:t>
      </w:r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жеке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көзқарастарының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алуан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түрлілігін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пікірлер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мен</w:t>
      </w:r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түсіндірмелердің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кең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ауқымын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CC5C7E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</w:p>
    <w:p w:rsidR="00CC5C7E" w:rsidRPr="00CC5C7E" w:rsidRDefault="00CC5C7E" w:rsidP="00CC5C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Жауаптардың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салаға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салаларға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тұжырымдамасының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жан-жақтылығына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аударды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оқытушылар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респонденттердің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80,8%)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даму тек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ортаны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қорғаумен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шектелмей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орындылық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теңдікті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қамтитынын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аспектілердің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бірлігі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дамуды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ұрпақ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планетарлық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ресурстарды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сақтай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сүру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жақсартуға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теңдестірілген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қарастыруға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C7E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CC5C7E">
        <w:rPr>
          <w:rFonts w:ascii="Times New Roman" w:hAnsi="Times New Roman" w:cs="Times New Roman"/>
          <w:sz w:val="28"/>
          <w:szCs w:val="28"/>
        </w:rPr>
        <w:t>.</w:t>
      </w:r>
    </w:p>
    <w:p w:rsidR="00CC5C7E" w:rsidRDefault="00CC5C7E" w:rsidP="00743A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7D1F" w:rsidRDefault="008F7D1F" w:rsidP="00743A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C5C7E" w:rsidRDefault="00CC5C7E" w:rsidP="00743A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529C" w:rsidRPr="0071529C" w:rsidRDefault="0071529C" w:rsidP="0071529C">
      <w:pPr>
        <w:spacing w:after="0" w:line="240" w:lineRule="auto"/>
        <w:ind w:firstLine="709"/>
        <w:jc w:val="both"/>
        <w:rPr>
          <w:rStyle w:val="ezkurwreuab5ozgtqnkl"/>
          <w:rFonts w:ascii="Times New Roman" w:hAnsi="Times New Roman" w:cs="Times New Roman"/>
          <w:sz w:val="28"/>
          <w:szCs w:val="28"/>
        </w:rPr>
      </w:pP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дамудың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17</w:t>
      </w:r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(ТДМ)</w:t>
      </w:r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тақырыбында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жүргізілген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университет</w:t>
      </w:r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оқытушыларының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сауалнамасының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басымдықтары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мен</w:t>
      </w:r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бағыттарын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анықтауға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Оқытушылар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мақсаттардың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әрқайсысының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маңыздылығын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бағалай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контекстінде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дамудың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маңыздылығы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тенденциялар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мен</w:t>
      </w:r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хабардарлықты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анықтады</w:t>
      </w:r>
      <w:proofErr w:type="spellEnd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</w:p>
    <w:p w:rsidR="003B0A0A" w:rsidRDefault="0071529C" w:rsidP="003B0A0A">
      <w:pPr>
        <w:spacing w:after="0" w:line="240" w:lineRule="auto"/>
        <w:ind w:firstLine="708"/>
        <w:jc w:val="both"/>
        <w:rPr>
          <w:rStyle w:val="ezkurwreuab5ozgtqnkl"/>
        </w:rPr>
      </w:pP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Респонденттердің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көпшілігінің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пікірінше</w:t>
      </w:r>
      <w:proofErr w:type="spellEnd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ең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мақсаттар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r w:rsidR="003B0A0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«С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апалы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="003B0A0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r w:rsidR="003B0A0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«Д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енсаулық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пен</w:t>
      </w:r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Fonts w:ascii="Times New Roman" w:hAnsi="Times New Roman" w:cs="Times New Roman"/>
          <w:sz w:val="28"/>
          <w:szCs w:val="28"/>
        </w:rPr>
        <w:t>әл-</w:t>
      </w:r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ауқат</w:t>
      </w:r>
      <w:proofErr w:type="spellEnd"/>
      <w:r w:rsidR="003B0A0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r w:rsidR="003B0A0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«Т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еңсіздікті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азайту</w:t>
      </w:r>
      <w:proofErr w:type="spellEnd"/>
      <w:r w:rsidR="003B0A0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r w:rsidR="003B0A0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«Л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айықты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өсу</w:t>
      </w:r>
      <w:proofErr w:type="spellEnd"/>
      <w:r w:rsidR="003B0A0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r w:rsidR="003B0A0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«Т</w:t>
      </w:r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аза</w:t>
      </w:r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су</w:t>
      </w:r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санитария</w:t>
      </w:r>
      <w:r w:rsidR="003B0A0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» </w:t>
      </w:r>
      <w:proofErr w:type="spellStart"/>
      <w:r w:rsidRPr="0071529C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Оқытушылар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бұл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аспектілердің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әрқайсысы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студенттерге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де</w:t>
      </w:r>
      <w:r w:rsidRPr="00715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қоғамға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да</w:t>
      </w:r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әсер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Fonts w:ascii="Times New Roman" w:hAnsi="Times New Roman" w:cs="Times New Roman"/>
          <w:sz w:val="28"/>
          <w:szCs w:val="28"/>
        </w:rPr>
        <w:t>ететінін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="003B0A0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«С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апалы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="003B0A0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заманғы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мәселелердің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шешімін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таба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сыни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ойлайтын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ұрпақты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қалыптастырудың</w:t>
      </w:r>
      <w:proofErr w:type="spellEnd"/>
      <w:r w:rsidRPr="00715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29C">
        <w:rPr>
          <w:rStyle w:val="ezkurwreuab5ozgtqnkl"/>
          <w:rFonts w:ascii="Times New Roman" w:hAnsi="Times New Roman" w:cs="Times New Roman"/>
          <w:sz w:val="28"/>
          <w:szCs w:val="28"/>
        </w:rPr>
        <w:t>негізі</w:t>
      </w:r>
      <w:proofErr w:type="spellEnd"/>
      <w: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қабылданады</w:t>
      </w:r>
      <w:proofErr w:type="spellEnd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</w:p>
    <w:p w:rsidR="00743AB3" w:rsidRPr="00743AB3" w:rsidRDefault="00743AB3" w:rsidP="003B0A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896140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43AB3" w:rsidRPr="00743AB3" w:rsidRDefault="00743AB3" w:rsidP="00743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A0A" w:rsidRPr="003B0A0A" w:rsidRDefault="003B0A0A" w:rsidP="00743AB3">
      <w:pPr>
        <w:spacing w:after="0" w:line="240" w:lineRule="auto"/>
        <w:ind w:firstLine="709"/>
        <w:jc w:val="both"/>
        <w:rPr>
          <w:rStyle w:val="ezkurwreuab5ozgtqnkl"/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Оқытушылар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шеңберінде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кеңірек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да</w:t>
      </w:r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"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теңсіздікті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төмендетудің</w:t>
      </w:r>
      <w:proofErr w:type="spellEnd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"</w:t>
      </w:r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маңыздылығына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аударды</w:t>
      </w:r>
      <w:proofErr w:type="spellEnd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Бұл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түсінік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әлеуметтік-экономикалық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жағдайына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тең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қол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жетімділікті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қажеттілігін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респонденттер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университет</w:t>
      </w:r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ортасында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да</w:t>
      </w:r>
      <w:r w:rsidRPr="003B0A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қоғамдастыққа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әсер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Fonts w:ascii="Times New Roman" w:hAnsi="Times New Roman" w:cs="Times New Roman"/>
          <w:sz w:val="28"/>
          <w:szCs w:val="28"/>
        </w:rPr>
        <w:t>етуде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теңсіздікпен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күресуге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қатысуы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Fonts w:ascii="Times New Roman" w:hAnsi="Times New Roman" w:cs="Times New Roman"/>
          <w:sz w:val="28"/>
          <w:szCs w:val="28"/>
        </w:rPr>
        <w:t>санайды</w:t>
      </w:r>
      <w:proofErr w:type="spellEnd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</w:p>
    <w:p w:rsidR="00743AB3" w:rsidRPr="003B0A0A" w:rsidRDefault="003B0A0A" w:rsidP="003B0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бастамалары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мен</w:t>
      </w:r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даму</w:t>
      </w:r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мақсаттары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едәуір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байытып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болашақты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құруға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3B0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3B0A0A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  <w:bookmarkEnd w:id="0"/>
    </w:p>
    <w:sectPr w:rsidR="00743AB3" w:rsidRPr="003B0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D0E"/>
    <w:rsid w:val="003B0A0A"/>
    <w:rsid w:val="00474D98"/>
    <w:rsid w:val="0071529C"/>
    <w:rsid w:val="00743AB3"/>
    <w:rsid w:val="008F7D1F"/>
    <w:rsid w:val="00912D0E"/>
    <w:rsid w:val="00B11820"/>
    <w:rsid w:val="00CC5C7E"/>
    <w:rsid w:val="00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71A13"/>
  <w15:docId w15:val="{3F788A13-2661-4C35-BFE8-F6D0D585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D1F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CC5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Экологиямен байланысты ұғым </c:v>
                </c:pt>
                <c:pt idx="1">
                  <c:v>Экономикалық сипаттағы түсінік</c:v>
                </c:pt>
                <c:pt idx="2">
                  <c:v>Әлеуметтік мәселелерді қарастырады</c:v>
                </c:pt>
                <c:pt idx="3">
                  <c:v>Понятие охватывает экологические, экономические и социальные аспекты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5.7000000000000002E-2</c:v>
                </c:pt>
                <c:pt idx="1">
                  <c:v>9.1999999999999998E-2</c:v>
                </c:pt>
                <c:pt idx="2">
                  <c:v>4.2999999999999997E-2</c:v>
                </c:pt>
                <c:pt idx="3">
                  <c:v>0.80800000000000005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AC-4367-A16B-2A5D5B636C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overlay val="0"/>
      <c:txPr>
        <a:bodyPr/>
        <a:lstStyle/>
        <a:p>
          <a:pPr>
            <a:defRPr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.1990740740740740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EC8-4568-88C5-80B894EFAB2C}"/>
                </c:ext>
              </c:extLst>
            </c:dLbl>
            <c:dLbl>
              <c:idx val="1"/>
              <c:layout>
                <c:manualLayout>
                  <c:x val="0.14120370370370366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EC8-4568-88C5-80B894EFAB2C}"/>
                </c:ext>
              </c:extLst>
            </c:dLbl>
            <c:dLbl>
              <c:idx val="2"/>
              <c:layout>
                <c:manualLayout>
                  <c:x val="0.3819444444444444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EC8-4568-88C5-80B894EFAB2C}"/>
                </c:ext>
              </c:extLst>
            </c:dLbl>
            <c:dLbl>
              <c:idx val="3"/>
              <c:layout>
                <c:manualLayout>
                  <c:x val="0.45601851851851855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EC8-4568-88C5-80B894EFAB2C}"/>
                </c:ext>
              </c:extLst>
            </c:dLbl>
            <c:dLbl>
              <c:idx val="4"/>
              <c:layout>
                <c:manualLayout>
                  <c:x val="7.40740740740740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EC8-4568-88C5-80B894EFAB2C}"/>
                </c:ext>
              </c:extLst>
            </c:dLbl>
            <c:dLbl>
              <c:idx val="5"/>
              <c:layout>
                <c:manualLayout>
                  <c:x val="0.2361111111111111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EC8-4568-88C5-80B894EFAB2C}"/>
                </c:ext>
              </c:extLst>
            </c:dLbl>
            <c:dLbl>
              <c:idx val="6"/>
              <c:layout>
                <c:manualLayout>
                  <c:x val="0.1435185185185185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EC8-4568-88C5-80B894EFAB2C}"/>
                </c:ext>
              </c:extLst>
            </c:dLbl>
            <c:dLbl>
              <c:idx val="7"/>
              <c:layout>
                <c:manualLayout>
                  <c:x val="0.35416666666666669"/>
                  <c:y val="3.25963646070219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EC8-4568-88C5-80B894EFAB2C}"/>
                </c:ext>
              </c:extLst>
            </c:dLbl>
            <c:dLbl>
              <c:idx val="8"/>
              <c:layout>
                <c:manualLayout>
                  <c:x val="0.28240740740740738"/>
                  <c:y val="-3.25963646070207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EC8-4568-88C5-80B894EFAB2C}"/>
                </c:ext>
              </c:extLst>
            </c:dLbl>
            <c:dLbl>
              <c:idx val="9"/>
              <c:layout>
                <c:manualLayout>
                  <c:x val="0.36342592592592576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EC8-4568-88C5-80B894EFAB2C}"/>
                </c:ext>
              </c:extLst>
            </c:dLbl>
            <c:dLbl>
              <c:idx val="10"/>
              <c:layout>
                <c:manualLayout>
                  <c:x val="0.1504629629629629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EC8-4568-88C5-80B894EFAB2C}"/>
                </c:ext>
              </c:extLst>
            </c:dLbl>
            <c:dLbl>
              <c:idx val="11"/>
              <c:layout>
                <c:manualLayout>
                  <c:x val="0.15740740740740736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EC8-4568-88C5-80B894EFAB2C}"/>
                </c:ext>
              </c:extLst>
            </c:dLbl>
            <c:dLbl>
              <c:idx val="12"/>
              <c:layout>
                <c:manualLayout>
                  <c:x val="0.19212962962962962"/>
                  <c:y val="3.25963646070213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EC8-4568-88C5-80B894EFAB2C}"/>
                </c:ext>
              </c:extLst>
            </c:dLbl>
            <c:dLbl>
              <c:idx val="13"/>
              <c:layout>
                <c:manualLayout>
                  <c:x val="0.1134259259259259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EC8-4568-88C5-80B894EFAB2C}"/>
                </c:ext>
              </c:extLst>
            </c:dLbl>
            <c:dLbl>
              <c:idx val="14"/>
              <c:layout>
                <c:manualLayout>
                  <c:x val="0.1273148148148148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EC8-4568-88C5-80B894EFAB2C}"/>
                </c:ext>
              </c:extLst>
            </c:dLbl>
            <c:dLbl>
              <c:idx val="15"/>
              <c:layout>
                <c:manualLayout>
                  <c:x val="0.19444444444444445"/>
                  <c:y val="6.51927292140424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EC8-4568-88C5-80B894EFAB2C}"/>
                </c:ext>
              </c:extLst>
            </c:dLbl>
            <c:dLbl>
              <c:idx val="16"/>
              <c:layout>
                <c:manualLayout>
                  <c:x val="0.17592592592592593"/>
                  <c:y val="-3.25963646070213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DEC8-4568-88C5-80B894EFAB2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Лист1!$A$2:$A$18</c:f>
              <c:strCache>
                <c:ptCount val="17"/>
                <c:pt idx="0">
                  <c:v>ТДМ 1</c:v>
                </c:pt>
                <c:pt idx="1">
                  <c:v>ТДМ 2</c:v>
                </c:pt>
                <c:pt idx="2">
                  <c:v>ТДМ 3</c:v>
                </c:pt>
                <c:pt idx="3">
                  <c:v>ТДМ 4</c:v>
                </c:pt>
                <c:pt idx="4">
                  <c:v>ТДМ 5</c:v>
                </c:pt>
                <c:pt idx="5">
                  <c:v>ТДМ 6</c:v>
                </c:pt>
                <c:pt idx="6">
                  <c:v>ТДМ 7</c:v>
                </c:pt>
                <c:pt idx="7">
                  <c:v>ТДМ 8</c:v>
                </c:pt>
                <c:pt idx="8">
                  <c:v>ТДМ 9</c:v>
                </c:pt>
                <c:pt idx="9">
                  <c:v>ТДМ 10</c:v>
                </c:pt>
                <c:pt idx="10">
                  <c:v>ТДМ 11</c:v>
                </c:pt>
                <c:pt idx="11">
                  <c:v>ТДМ 12</c:v>
                </c:pt>
                <c:pt idx="12">
                  <c:v>ТДМ 13</c:v>
                </c:pt>
                <c:pt idx="13">
                  <c:v>ТДМ 14</c:v>
                </c:pt>
                <c:pt idx="14">
                  <c:v>ТДМ 15</c:v>
                </c:pt>
                <c:pt idx="15">
                  <c:v>ТДМ 16</c:v>
                </c:pt>
                <c:pt idx="16">
                  <c:v>ТДМ 17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62</c:v>
                </c:pt>
                <c:pt idx="1">
                  <c:v>38</c:v>
                </c:pt>
                <c:pt idx="2">
                  <c:v>132</c:v>
                </c:pt>
                <c:pt idx="3">
                  <c:v>157</c:v>
                </c:pt>
                <c:pt idx="4">
                  <c:v>16</c:v>
                </c:pt>
                <c:pt idx="5">
                  <c:v>75</c:v>
                </c:pt>
                <c:pt idx="6">
                  <c:v>36</c:v>
                </c:pt>
                <c:pt idx="7">
                  <c:v>123</c:v>
                </c:pt>
                <c:pt idx="8">
                  <c:v>97</c:v>
                </c:pt>
                <c:pt idx="9">
                  <c:v>125</c:v>
                </c:pt>
                <c:pt idx="10">
                  <c:v>44</c:v>
                </c:pt>
                <c:pt idx="11">
                  <c:v>49</c:v>
                </c:pt>
                <c:pt idx="12">
                  <c:v>55</c:v>
                </c:pt>
                <c:pt idx="13">
                  <c:v>24</c:v>
                </c:pt>
                <c:pt idx="14">
                  <c:v>32</c:v>
                </c:pt>
                <c:pt idx="15">
                  <c:v>61</c:v>
                </c:pt>
                <c:pt idx="16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DEC8-4568-88C5-80B894EFAB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7921280"/>
        <c:axId val="78600064"/>
        <c:axId val="0"/>
      </c:bar3DChart>
      <c:catAx>
        <c:axId val="7792128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78600064"/>
        <c:crosses val="autoZero"/>
        <c:auto val="1"/>
        <c:lblAlgn val="ctr"/>
        <c:lblOffset val="100"/>
        <c:noMultiLvlLbl val="0"/>
      </c:catAx>
      <c:valAx>
        <c:axId val="7860006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779212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2025-04-14T14:08:00Z</dcterms:created>
  <dcterms:modified xsi:type="dcterms:W3CDTF">2025-04-14T14:25:00Z</dcterms:modified>
</cp:coreProperties>
</file>